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beforeLines="50" w:before="156" w:line="620" w:lineRule="exact"/>
        <w:jc w:val="center"/>
        <w:rPr>
          <w:rFonts w:eastAsia="仿宋_GB2312"/>
          <w:sz w:val="32"/>
          <w:szCs w:val="32"/>
        </w:rPr>
      </w:pPr>
      <w:proofErr w:type="gramStart"/>
      <w:r w:rsidRPr="005C52DE">
        <w:rPr>
          <w:rFonts w:eastAsia="仿宋_GB2312"/>
          <w:sz w:val="32"/>
          <w:szCs w:val="32"/>
        </w:rPr>
        <w:t>苏教考</w:t>
      </w:r>
      <w:proofErr w:type="gramEnd"/>
      <w:r w:rsidRPr="005C52DE">
        <w:rPr>
          <w:rFonts w:eastAsia="仿宋_GB2312"/>
          <w:sz w:val="32"/>
          <w:szCs w:val="32"/>
        </w:rPr>
        <w:t>自〔</w:t>
      </w:r>
      <w:r w:rsidRPr="005C52DE">
        <w:rPr>
          <w:rFonts w:eastAsia="仿宋_GB2312"/>
          <w:sz w:val="32"/>
          <w:szCs w:val="32"/>
        </w:rPr>
        <w:t>2019</w:t>
      </w:r>
      <w:r w:rsidRPr="005C52DE">
        <w:rPr>
          <w:rFonts w:eastAsia="仿宋_GB2312"/>
          <w:sz w:val="32"/>
          <w:szCs w:val="32"/>
        </w:rPr>
        <w:t>〕</w:t>
      </w:r>
      <w:r w:rsidRPr="005C52DE">
        <w:rPr>
          <w:rFonts w:eastAsia="仿宋_GB2312"/>
          <w:sz w:val="32"/>
          <w:szCs w:val="32"/>
        </w:rPr>
        <w:t>12</w:t>
      </w:r>
      <w:r w:rsidRPr="005C52DE">
        <w:rPr>
          <w:rFonts w:eastAsia="仿宋_GB2312"/>
          <w:sz w:val="32"/>
          <w:szCs w:val="32"/>
        </w:rPr>
        <w:t>号</w:t>
      </w: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20" w:lineRule="exact"/>
        <w:jc w:val="center"/>
        <w:rPr>
          <w:rFonts w:eastAsia="仿宋_GB2312"/>
          <w:sz w:val="32"/>
          <w:szCs w:val="32"/>
        </w:rPr>
      </w:pPr>
    </w:p>
    <w:p w:rsidR="00704437" w:rsidRPr="005C52DE" w:rsidRDefault="00704437" w:rsidP="00704437">
      <w:pPr>
        <w:spacing w:line="640" w:lineRule="exact"/>
        <w:jc w:val="center"/>
        <w:rPr>
          <w:rFonts w:ascii="方正小标宋简体" w:eastAsia="方正小标宋简体" w:hint="eastAsia"/>
          <w:sz w:val="44"/>
          <w:szCs w:val="44"/>
        </w:rPr>
      </w:pPr>
      <w:r w:rsidRPr="005C52DE">
        <w:rPr>
          <w:rFonts w:ascii="方正小标宋简体" w:eastAsia="方正小标宋简体" w:hAnsi="宋体" w:hint="eastAsia"/>
          <w:sz w:val="44"/>
          <w:szCs w:val="44"/>
        </w:rPr>
        <w:t>省教育考试院关于调整江苏省高等教育</w:t>
      </w:r>
    </w:p>
    <w:p w:rsidR="00704437" w:rsidRPr="005C52DE" w:rsidRDefault="00704437" w:rsidP="00704437">
      <w:pPr>
        <w:spacing w:line="640" w:lineRule="exact"/>
        <w:jc w:val="center"/>
        <w:rPr>
          <w:rFonts w:ascii="方正小标宋简体" w:eastAsia="方正小标宋简体" w:hint="eastAsia"/>
          <w:sz w:val="44"/>
          <w:szCs w:val="44"/>
        </w:rPr>
      </w:pPr>
      <w:r w:rsidRPr="005C52DE">
        <w:rPr>
          <w:rFonts w:ascii="方正小标宋简体" w:eastAsia="方正小标宋简体" w:hAnsi="宋体" w:hint="eastAsia"/>
          <w:sz w:val="44"/>
          <w:szCs w:val="44"/>
        </w:rPr>
        <w:t>自学考试部分</w:t>
      </w:r>
      <w:r w:rsidRPr="005C52DE">
        <w:rPr>
          <w:rFonts w:ascii="方正小标宋简体" w:eastAsia="方正小标宋简体" w:hint="eastAsia"/>
          <w:sz w:val="44"/>
          <w:szCs w:val="44"/>
        </w:rPr>
        <w:t>专业名称和代码的通知</w:t>
      </w:r>
    </w:p>
    <w:p w:rsidR="00704437" w:rsidRDefault="00704437" w:rsidP="00704437">
      <w:pPr>
        <w:jc w:val="center"/>
        <w:rPr>
          <w:sz w:val="44"/>
          <w:szCs w:val="44"/>
        </w:rPr>
      </w:pPr>
    </w:p>
    <w:p w:rsidR="00704437" w:rsidRPr="005C52DE" w:rsidRDefault="00704437" w:rsidP="00704437">
      <w:pPr>
        <w:spacing w:line="560" w:lineRule="exact"/>
        <w:rPr>
          <w:rFonts w:eastAsia="仿宋_GB2312"/>
          <w:sz w:val="32"/>
          <w:szCs w:val="32"/>
        </w:rPr>
      </w:pPr>
      <w:r w:rsidRPr="005C52DE">
        <w:rPr>
          <w:rFonts w:eastAsia="仿宋_GB2312"/>
          <w:sz w:val="32"/>
          <w:szCs w:val="32"/>
        </w:rPr>
        <w:t>各市自考办（考试院、招考中心），各县（市、区）自考办，有关主考学校：</w:t>
      </w:r>
    </w:p>
    <w:p w:rsidR="00704437" w:rsidRPr="005C52DE" w:rsidRDefault="00704437" w:rsidP="00704437">
      <w:pPr>
        <w:spacing w:line="560" w:lineRule="exact"/>
        <w:ind w:firstLineChars="200" w:firstLine="640"/>
        <w:rPr>
          <w:rFonts w:eastAsia="仿宋_GB2312"/>
          <w:sz w:val="32"/>
          <w:szCs w:val="32"/>
        </w:rPr>
      </w:pPr>
      <w:r w:rsidRPr="005C52DE">
        <w:rPr>
          <w:rFonts w:eastAsia="仿宋_GB2312"/>
          <w:sz w:val="32"/>
          <w:szCs w:val="32"/>
        </w:rPr>
        <w:t>根据《教育部办公厅关于印发〈高等教育自学考试专业设置实施细则〉和〈高等教育自学考试开考专业清单〉的通知》（</w:t>
      </w:r>
      <w:proofErr w:type="gramStart"/>
      <w:r w:rsidRPr="005C52DE">
        <w:rPr>
          <w:rFonts w:eastAsia="仿宋_GB2312"/>
          <w:sz w:val="32"/>
          <w:szCs w:val="32"/>
        </w:rPr>
        <w:t>教职成厅〔</w:t>
      </w:r>
      <w:r w:rsidRPr="005C52DE">
        <w:rPr>
          <w:rFonts w:eastAsia="仿宋_GB2312"/>
          <w:sz w:val="32"/>
          <w:szCs w:val="32"/>
        </w:rPr>
        <w:t>2018</w:t>
      </w:r>
      <w:r w:rsidRPr="005C52DE">
        <w:rPr>
          <w:rFonts w:eastAsia="仿宋_GB2312"/>
          <w:sz w:val="32"/>
          <w:szCs w:val="32"/>
        </w:rPr>
        <w:t>〕</w:t>
      </w:r>
      <w:proofErr w:type="gramEnd"/>
      <w:r w:rsidRPr="005C52DE">
        <w:rPr>
          <w:rFonts w:eastAsia="仿宋_GB2312"/>
          <w:sz w:val="32"/>
          <w:szCs w:val="32"/>
        </w:rPr>
        <w:t>1</w:t>
      </w:r>
      <w:r w:rsidRPr="005C52DE">
        <w:rPr>
          <w:rFonts w:eastAsia="仿宋_GB2312"/>
          <w:sz w:val="32"/>
          <w:szCs w:val="32"/>
        </w:rPr>
        <w:t>号）精神，为规范自学考试专业设置，结合我省实际，现对江苏省高等教育自学考试部分专业名称和代码进行调整。具体事项通知如下：</w:t>
      </w:r>
    </w:p>
    <w:p w:rsidR="00704437" w:rsidRPr="005C52DE" w:rsidRDefault="00704437" w:rsidP="00704437">
      <w:pPr>
        <w:spacing w:line="560" w:lineRule="exact"/>
        <w:ind w:firstLineChars="200" w:firstLine="640"/>
        <w:rPr>
          <w:rFonts w:eastAsia="仿宋_GB2312"/>
          <w:bCs/>
          <w:sz w:val="32"/>
          <w:szCs w:val="32"/>
        </w:rPr>
      </w:pPr>
      <w:r w:rsidRPr="005C52DE">
        <w:rPr>
          <w:rFonts w:eastAsia="仿宋_GB2312"/>
          <w:bCs/>
          <w:sz w:val="32"/>
          <w:szCs w:val="32"/>
        </w:rPr>
        <w:t>一、</w:t>
      </w:r>
      <w:r w:rsidRPr="005C52DE">
        <w:rPr>
          <w:rFonts w:eastAsia="仿宋_GB2312"/>
          <w:sz w:val="32"/>
          <w:szCs w:val="32"/>
        </w:rPr>
        <w:t>本次调整仅限于我省面向社会仍在开考的专业，</w:t>
      </w:r>
      <w:r w:rsidRPr="005C52DE">
        <w:rPr>
          <w:rFonts w:eastAsia="仿宋_GB2312"/>
          <w:bCs/>
          <w:sz w:val="32"/>
          <w:szCs w:val="32"/>
        </w:rPr>
        <w:t>专业名称调整后与《高等教育自学考试开考专业清单》保持一致。新旧专业名称和代码对照情况详见《江苏省高等教育自学考试新旧专业对照表》（附件）。</w:t>
      </w:r>
      <w:r w:rsidRPr="005C52DE">
        <w:rPr>
          <w:rFonts w:eastAsia="仿宋_GB2312"/>
          <w:sz w:val="32"/>
          <w:szCs w:val="32"/>
        </w:rPr>
        <w:t>已经公布即将停考的专业</w:t>
      </w:r>
      <w:r w:rsidRPr="005C52DE">
        <w:rPr>
          <w:rFonts w:eastAsia="仿宋_GB2312"/>
          <w:sz w:val="32"/>
          <w:szCs w:val="32"/>
        </w:rPr>
        <w:lastRenderedPageBreak/>
        <w:t>不再公布新旧专业名称和代码的对应关系。</w:t>
      </w:r>
    </w:p>
    <w:p w:rsidR="00704437" w:rsidRPr="005C52DE" w:rsidRDefault="00704437" w:rsidP="00704437">
      <w:pPr>
        <w:spacing w:line="540" w:lineRule="exact"/>
        <w:ind w:firstLineChars="200" w:firstLine="640"/>
        <w:rPr>
          <w:rFonts w:eastAsia="仿宋_GB2312"/>
          <w:sz w:val="32"/>
          <w:szCs w:val="32"/>
        </w:rPr>
      </w:pPr>
      <w:r w:rsidRPr="005C52DE">
        <w:rPr>
          <w:rFonts w:eastAsia="仿宋_GB2312"/>
          <w:bCs/>
          <w:sz w:val="32"/>
          <w:szCs w:val="32"/>
        </w:rPr>
        <w:t>二、</w:t>
      </w:r>
      <w:r w:rsidRPr="005C52DE">
        <w:rPr>
          <w:rFonts w:eastAsia="仿宋_GB2312"/>
          <w:sz w:val="32"/>
          <w:szCs w:val="32"/>
        </w:rPr>
        <w:t>教育部考试中心将陆续发布新版高等教育自学考试专业基本规范，届时我省将根据新版专业基本规范对我省各专业考试计划进行相应调整，并及时向社会公布。新的专业考试计划公布时，我省开考专业全部启用新专业名称和代码。</w:t>
      </w:r>
    </w:p>
    <w:p w:rsidR="00704437" w:rsidRPr="005C52DE" w:rsidRDefault="00704437" w:rsidP="00704437">
      <w:pPr>
        <w:spacing w:line="540" w:lineRule="exact"/>
        <w:ind w:firstLineChars="200" w:firstLine="640"/>
        <w:rPr>
          <w:rFonts w:eastAsia="仿宋_GB2312"/>
          <w:sz w:val="32"/>
          <w:szCs w:val="32"/>
        </w:rPr>
      </w:pPr>
      <w:r w:rsidRPr="005C52DE">
        <w:rPr>
          <w:rFonts w:eastAsia="仿宋_GB2312"/>
          <w:sz w:val="32"/>
          <w:szCs w:val="32"/>
        </w:rPr>
        <w:t>三、过渡期间，在新专业名称和代码启用前，考生仍须按原专业名称和代码申请毕业；在新专业名称和代码启用后，截止</w:t>
      </w:r>
      <w:smartTag w:uri="urn:schemas-microsoft-com:office:smarttags" w:element="chsdate">
        <w:smartTagPr>
          <w:attr w:name="IsROCDate" w:val="False"/>
          <w:attr w:name="IsLunarDate" w:val="False"/>
          <w:attr w:name="Day" w:val="30"/>
          <w:attr w:name="Month" w:val="6"/>
          <w:attr w:name="Year" w:val="2021"/>
        </w:smartTagPr>
        <w:r w:rsidRPr="005C52DE">
          <w:rPr>
            <w:rFonts w:eastAsia="仿宋_GB2312"/>
            <w:sz w:val="32"/>
            <w:szCs w:val="32"/>
          </w:rPr>
          <w:t>2021</w:t>
        </w:r>
        <w:r w:rsidRPr="005C52DE">
          <w:rPr>
            <w:rFonts w:eastAsia="仿宋_GB2312"/>
            <w:sz w:val="32"/>
            <w:szCs w:val="32"/>
          </w:rPr>
          <w:t>年</w:t>
        </w:r>
        <w:r w:rsidRPr="005C52DE">
          <w:rPr>
            <w:rFonts w:eastAsia="仿宋_GB2312"/>
            <w:sz w:val="32"/>
            <w:szCs w:val="32"/>
          </w:rPr>
          <w:t>6</w:t>
        </w:r>
        <w:r w:rsidRPr="005C52DE">
          <w:rPr>
            <w:rFonts w:eastAsia="仿宋_GB2312"/>
            <w:sz w:val="32"/>
            <w:szCs w:val="32"/>
          </w:rPr>
          <w:t>月</w:t>
        </w:r>
        <w:r w:rsidRPr="005C52DE">
          <w:rPr>
            <w:rFonts w:eastAsia="仿宋_GB2312"/>
            <w:sz w:val="32"/>
            <w:szCs w:val="32"/>
          </w:rPr>
          <w:t>30</w:t>
        </w:r>
        <w:r w:rsidRPr="005C52DE">
          <w:rPr>
            <w:rFonts w:eastAsia="仿宋_GB2312"/>
            <w:sz w:val="32"/>
            <w:szCs w:val="32"/>
          </w:rPr>
          <w:t>日</w:t>
        </w:r>
      </w:smartTag>
      <w:r w:rsidRPr="005C52DE">
        <w:rPr>
          <w:rFonts w:eastAsia="仿宋_GB2312"/>
          <w:sz w:val="32"/>
          <w:szCs w:val="32"/>
        </w:rPr>
        <w:t>，按原专业名称和代码注册的考生可在新旧专业名称中选择一个专业名称申请毕业；按新专业名称和代码注册的考生只能按照新专业名称申请毕业。</w:t>
      </w:r>
      <w:smartTag w:uri="urn:schemas-microsoft-com:office:smarttags" w:element="chsdate">
        <w:smartTagPr>
          <w:attr w:name="IsROCDate" w:val="False"/>
          <w:attr w:name="IsLunarDate" w:val="False"/>
          <w:attr w:name="Day" w:val="1"/>
          <w:attr w:name="Month" w:val="7"/>
          <w:attr w:name="Year" w:val="2021"/>
        </w:smartTagPr>
        <w:r w:rsidRPr="005C52DE">
          <w:rPr>
            <w:rFonts w:eastAsia="仿宋_GB2312"/>
            <w:sz w:val="32"/>
            <w:szCs w:val="32"/>
          </w:rPr>
          <w:t>2021</w:t>
        </w:r>
        <w:r w:rsidRPr="005C52DE">
          <w:rPr>
            <w:rFonts w:eastAsia="仿宋_GB2312"/>
            <w:sz w:val="32"/>
            <w:szCs w:val="32"/>
          </w:rPr>
          <w:t>年</w:t>
        </w:r>
        <w:r w:rsidRPr="005C52DE">
          <w:rPr>
            <w:rFonts w:eastAsia="仿宋_GB2312"/>
            <w:sz w:val="32"/>
            <w:szCs w:val="32"/>
          </w:rPr>
          <w:t>7</w:t>
        </w:r>
        <w:r w:rsidRPr="005C52DE">
          <w:rPr>
            <w:rFonts w:eastAsia="仿宋_GB2312"/>
            <w:sz w:val="32"/>
            <w:szCs w:val="32"/>
          </w:rPr>
          <w:t>月</w:t>
        </w:r>
        <w:r w:rsidRPr="005C52DE">
          <w:rPr>
            <w:rFonts w:eastAsia="仿宋_GB2312"/>
            <w:sz w:val="32"/>
            <w:szCs w:val="32"/>
          </w:rPr>
          <w:t>1</w:t>
        </w:r>
        <w:r w:rsidRPr="005C52DE">
          <w:rPr>
            <w:rFonts w:eastAsia="仿宋_GB2312"/>
            <w:sz w:val="32"/>
            <w:szCs w:val="32"/>
          </w:rPr>
          <w:t>日</w:t>
        </w:r>
      </w:smartTag>
      <w:r w:rsidRPr="005C52DE">
        <w:rPr>
          <w:rFonts w:eastAsia="仿宋_GB2312"/>
          <w:sz w:val="32"/>
          <w:szCs w:val="32"/>
        </w:rPr>
        <w:t>开始，所有考生均按新专业名称申请毕业。</w:t>
      </w:r>
    </w:p>
    <w:p w:rsidR="00704437" w:rsidRDefault="00704437" w:rsidP="00704437">
      <w:pPr>
        <w:spacing w:line="540" w:lineRule="exact"/>
        <w:ind w:firstLine="630"/>
        <w:rPr>
          <w:rFonts w:eastAsia="仿宋_GB2312" w:hint="eastAsia"/>
          <w:sz w:val="32"/>
          <w:szCs w:val="32"/>
        </w:rPr>
      </w:pPr>
      <w:r w:rsidRPr="005C52DE">
        <w:rPr>
          <w:rFonts w:eastAsia="仿宋_GB2312"/>
          <w:sz w:val="32"/>
          <w:szCs w:val="32"/>
        </w:rPr>
        <w:t>各单位要认真做好专业调整的宣传和解释工作，及时准确地向考生宣传专业调整的有关政策，切实维护考生的正当权益，营造良好的舆论环境，确保我省高等教育自学考试专业调整工作平稳顺利实施。</w:t>
      </w:r>
    </w:p>
    <w:p w:rsidR="00704437" w:rsidRPr="005C52DE" w:rsidRDefault="00704437" w:rsidP="00704437">
      <w:pPr>
        <w:spacing w:line="540" w:lineRule="exact"/>
        <w:ind w:firstLine="629"/>
        <w:rPr>
          <w:rFonts w:eastAsia="仿宋_GB2312" w:hint="eastAsia"/>
          <w:sz w:val="32"/>
          <w:szCs w:val="32"/>
        </w:rPr>
      </w:pPr>
    </w:p>
    <w:p w:rsidR="00704437" w:rsidRPr="005C52DE" w:rsidRDefault="00704437" w:rsidP="00704437">
      <w:pPr>
        <w:spacing w:line="540" w:lineRule="exact"/>
        <w:ind w:firstLineChars="200" w:firstLine="640"/>
        <w:rPr>
          <w:rFonts w:eastAsia="仿宋_GB2312"/>
          <w:sz w:val="32"/>
          <w:szCs w:val="32"/>
        </w:rPr>
      </w:pPr>
      <w:r w:rsidRPr="005C52DE">
        <w:rPr>
          <w:rFonts w:eastAsia="仿宋_GB2312"/>
          <w:sz w:val="32"/>
          <w:szCs w:val="32"/>
        </w:rPr>
        <w:t>附件：江苏省高等教育自学考试新旧专业对照表</w:t>
      </w:r>
    </w:p>
    <w:p w:rsidR="00704437" w:rsidRPr="005C52DE" w:rsidRDefault="00704437" w:rsidP="00704437">
      <w:pPr>
        <w:spacing w:line="540" w:lineRule="exact"/>
        <w:rPr>
          <w:rFonts w:eastAsia="仿宋_GB2312" w:hint="eastAsia"/>
          <w:sz w:val="32"/>
          <w:szCs w:val="32"/>
        </w:rPr>
      </w:pPr>
    </w:p>
    <w:p w:rsidR="00704437" w:rsidRPr="005C52DE" w:rsidRDefault="00704437" w:rsidP="00704437">
      <w:pPr>
        <w:spacing w:line="540" w:lineRule="exact"/>
        <w:rPr>
          <w:rFonts w:eastAsia="仿宋_GB2312" w:hint="eastAsia"/>
          <w:sz w:val="32"/>
          <w:szCs w:val="32"/>
        </w:rPr>
      </w:pPr>
    </w:p>
    <w:p w:rsidR="00704437" w:rsidRPr="005C52DE" w:rsidRDefault="00704437" w:rsidP="00704437">
      <w:pPr>
        <w:spacing w:line="540" w:lineRule="exact"/>
        <w:ind w:firstLineChars="1850" w:firstLine="5920"/>
        <w:rPr>
          <w:rFonts w:eastAsia="仿宋_GB2312"/>
          <w:sz w:val="32"/>
          <w:szCs w:val="32"/>
        </w:rPr>
      </w:pPr>
      <w:r w:rsidRPr="005C52DE">
        <w:rPr>
          <w:rFonts w:eastAsia="仿宋_GB2312"/>
          <w:sz w:val="32"/>
          <w:szCs w:val="32"/>
        </w:rPr>
        <w:t>省教育考试院</w:t>
      </w:r>
    </w:p>
    <w:p w:rsidR="00DA5C27" w:rsidRDefault="00704437" w:rsidP="00704437">
      <w:pPr>
        <w:ind w:firstLineChars="1800" w:firstLine="5760"/>
        <w:rPr>
          <w:rFonts w:eastAsia="仿宋_GB2312" w:hint="eastAsia"/>
          <w:sz w:val="32"/>
          <w:szCs w:val="32"/>
        </w:rPr>
      </w:pPr>
      <w:r w:rsidRPr="005C52DE">
        <w:rPr>
          <w:rFonts w:eastAsia="仿宋_GB2312"/>
          <w:sz w:val="32"/>
          <w:szCs w:val="32"/>
        </w:rPr>
        <w:t>2019</w:t>
      </w:r>
      <w:r w:rsidRPr="005C52DE">
        <w:rPr>
          <w:rFonts w:eastAsia="仿宋_GB2312"/>
          <w:sz w:val="32"/>
          <w:szCs w:val="32"/>
        </w:rPr>
        <w:t>年</w:t>
      </w:r>
      <w:r>
        <w:rPr>
          <w:rFonts w:eastAsia="仿宋_GB2312" w:hint="eastAsia"/>
          <w:sz w:val="32"/>
          <w:szCs w:val="32"/>
        </w:rPr>
        <w:t>5</w:t>
      </w:r>
      <w:r w:rsidRPr="005C52DE">
        <w:rPr>
          <w:rFonts w:eastAsia="仿宋_GB2312"/>
          <w:sz w:val="32"/>
          <w:szCs w:val="32"/>
        </w:rPr>
        <w:t>月</w:t>
      </w:r>
      <w:r>
        <w:rPr>
          <w:rFonts w:eastAsia="仿宋_GB2312" w:hint="eastAsia"/>
          <w:sz w:val="32"/>
          <w:szCs w:val="32"/>
        </w:rPr>
        <w:t>5</w:t>
      </w:r>
      <w:r w:rsidRPr="005C52DE">
        <w:rPr>
          <w:rFonts w:eastAsia="仿宋_GB2312"/>
          <w:sz w:val="32"/>
          <w:szCs w:val="32"/>
        </w:rPr>
        <w:t>日</w:t>
      </w:r>
    </w:p>
    <w:p w:rsidR="00704437" w:rsidRDefault="00704437" w:rsidP="00704437">
      <w:pPr>
        <w:ind w:firstLineChars="1800" w:firstLine="3780"/>
        <w:sectPr w:rsidR="00704437">
          <w:pgSz w:w="11906" w:h="16838"/>
          <w:pgMar w:top="1440" w:right="1800" w:bottom="1440" w:left="1800" w:header="851" w:footer="992" w:gutter="0"/>
          <w:cols w:space="425"/>
          <w:docGrid w:type="lines" w:linePitch="312"/>
        </w:sectPr>
      </w:pPr>
    </w:p>
    <w:p w:rsidR="00704437" w:rsidRPr="005C52DE" w:rsidRDefault="00704437" w:rsidP="00704437">
      <w:pPr>
        <w:pStyle w:val="a5"/>
        <w:spacing w:line="600" w:lineRule="exact"/>
        <w:ind w:left="-212" w:right="210" w:hanging="147"/>
        <w:jc w:val="left"/>
        <w:rPr>
          <w:rFonts w:hAnsi="宋体" w:cs="宋体" w:hint="eastAsia"/>
          <w:bCs/>
          <w:w w:val="100"/>
          <w:sz w:val="32"/>
          <w:szCs w:val="32"/>
        </w:rPr>
      </w:pPr>
      <w:r w:rsidRPr="005C52DE">
        <w:rPr>
          <w:rFonts w:hAnsi="宋体" w:cs="宋体" w:hint="eastAsia"/>
          <w:bCs/>
          <w:w w:val="100"/>
          <w:sz w:val="32"/>
          <w:szCs w:val="32"/>
        </w:rPr>
        <w:lastRenderedPageBreak/>
        <w:t>附件</w:t>
      </w:r>
    </w:p>
    <w:p w:rsidR="00704437" w:rsidRPr="005C52DE" w:rsidRDefault="00704437" w:rsidP="00704437">
      <w:pPr>
        <w:pStyle w:val="a5"/>
        <w:spacing w:afterLines="50" w:after="156" w:line="600" w:lineRule="exact"/>
        <w:ind w:left="-193" w:right="210" w:hanging="166"/>
        <w:rPr>
          <w:rFonts w:ascii="方正小标宋简体" w:eastAsia="方正小标宋简体" w:hAnsi="宋体" w:cs="宋体"/>
          <w:bCs/>
          <w:w w:val="100"/>
          <w:sz w:val="36"/>
          <w:szCs w:val="36"/>
        </w:rPr>
      </w:pPr>
      <w:r w:rsidRPr="005C52DE">
        <w:rPr>
          <w:rFonts w:ascii="方正小标宋简体" w:eastAsia="方正小标宋简体" w:hAnsi="宋体" w:cs="宋体" w:hint="eastAsia"/>
          <w:bCs/>
          <w:w w:val="100"/>
          <w:sz w:val="36"/>
          <w:szCs w:val="36"/>
        </w:rPr>
        <w:t>江苏省高等教育自学考试新旧专业对照表</w:t>
      </w:r>
    </w:p>
    <w:tbl>
      <w:tblPr>
        <w:tblW w:w="0" w:type="auto"/>
        <w:jc w:val="center"/>
        <w:tblInd w:w="-783" w:type="dxa"/>
        <w:tblLayout w:type="fixed"/>
        <w:tblLook w:val="0000" w:firstRow="0" w:lastRow="0" w:firstColumn="0" w:lastColumn="0" w:noHBand="0" w:noVBand="0"/>
      </w:tblPr>
      <w:tblGrid>
        <w:gridCol w:w="1080"/>
        <w:gridCol w:w="1654"/>
        <w:gridCol w:w="2410"/>
        <w:gridCol w:w="1276"/>
        <w:gridCol w:w="2693"/>
        <w:gridCol w:w="2047"/>
        <w:gridCol w:w="2655"/>
      </w:tblGrid>
      <w:tr w:rsidR="00704437" w:rsidTr="005C52DE">
        <w:trPr>
          <w:trHeight w:val="342"/>
          <w:jc w:val="center"/>
        </w:trPr>
        <w:tc>
          <w:tcPr>
            <w:tcW w:w="1080" w:type="dxa"/>
            <w:tcBorders>
              <w:top w:val="single" w:sz="8" w:space="0" w:color="000000"/>
              <w:left w:val="single" w:sz="8" w:space="0" w:color="000000"/>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序号</w:t>
            </w:r>
          </w:p>
        </w:tc>
        <w:tc>
          <w:tcPr>
            <w:tcW w:w="1654"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专业代号</w:t>
            </w:r>
          </w:p>
        </w:tc>
        <w:tc>
          <w:tcPr>
            <w:tcW w:w="2410"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专业名称</w:t>
            </w:r>
          </w:p>
        </w:tc>
        <w:tc>
          <w:tcPr>
            <w:tcW w:w="1276"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层次</w:t>
            </w:r>
          </w:p>
        </w:tc>
        <w:tc>
          <w:tcPr>
            <w:tcW w:w="2693"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主考学校</w:t>
            </w:r>
          </w:p>
        </w:tc>
        <w:tc>
          <w:tcPr>
            <w:tcW w:w="2047"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新专业代号</w:t>
            </w:r>
          </w:p>
        </w:tc>
        <w:tc>
          <w:tcPr>
            <w:tcW w:w="2655" w:type="dxa"/>
            <w:tcBorders>
              <w:top w:val="single" w:sz="8" w:space="0" w:color="000000"/>
              <w:left w:val="nil"/>
              <w:bottom w:val="single" w:sz="8" w:space="0" w:color="000000"/>
              <w:right w:val="single" w:sz="8" w:space="0" w:color="000000"/>
            </w:tcBorders>
            <w:vAlign w:val="center"/>
          </w:tcPr>
          <w:p w:rsidR="00704437" w:rsidRPr="005C52DE" w:rsidRDefault="00704437" w:rsidP="005C52DE">
            <w:pPr>
              <w:autoSpaceDN w:val="0"/>
              <w:jc w:val="center"/>
              <w:textAlignment w:val="center"/>
              <w:rPr>
                <w:rFonts w:ascii="黑体" w:eastAsia="黑体" w:hAnsi="宋体" w:hint="eastAsia"/>
                <w:color w:val="000000"/>
                <w:szCs w:val="21"/>
              </w:rPr>
            </w:pPr>
            <w:r w:rsidRPr="005C52DE">
              <w:rPr>
                <w:rFonts w:ascii="黑体" w:eastAsia="黑体" w:hAnsi="宋体" w:hint="eastAsia"/>
                <w:color w:val="000000"/>
                <w:szCs w:val="21"/>
              </w:rPr>
              <w:t>新专业名称</w:t>
            </w:r>
          </w:p>
        </w:tc>
      </w:tr>
      <w:tr w:rsidR="00704437" w:rsidTr="005C52DE">
        <w:trPr>
          <w:trHeight w:val="342"/>
          <w:jc w:val="center"/>
        </w:trPr>
        <w:tc>
          <w:tcPr>
            <w:tcW w:w="1080" w:type="dxa"/>
            <w:tcBorders>
              <w:top w:val="single" w:sz="8" w:space="0" w:color="000000"/>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654"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A1020203</w:t>
            </w:r>
          </w:p>
        </w:tc>
        <w:tc>
          <w:tcPr>
            <w:tcW w:w="2410"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会计</w:t>
            </w:r>
          </w:p>
        </w:tc>
        <w:tc>
          <w:tcPr>
            <w:tcW w:w="1276"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X1630302</w:t>
            </w:r>
          </w:p>
        </w:tc>
        <w:tc>
          <w:tcPr>
            <w:tcW w:w="2655" w:type="dxa"/>
            <w:tcBorders>
              <w:top w:val="single" w:sz="8" w:space="0" w:color="000000"/>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会计</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A1020205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人力资源管理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X1690202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人力资源管理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A1020207</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市场营销</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X1630701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市场营销</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A1020215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电子商务</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X1630801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电子商务</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A1030301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行政管理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南京大学、河海大学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X1690206</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行政管理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A1040101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学前教育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江苏第二师范学院</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X1670102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学前教育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A1040103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小学教育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江苏第二师范学院</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X1670103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小学教育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A1040109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心理健康教育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X1670121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心理健康教育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A1050114</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汉语言文学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X1970201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汉语言文学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A1050207</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X1970202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英语</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A1080301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机械制造及自动化</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扬州大学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X1560102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机械制造与自动化</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A1100701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护理学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南京医科大学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X1620201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护理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A1100803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中药学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南京中医药大学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X1620302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中药学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A5020258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企业管理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南京农业大学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X1630601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工商企业管理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A5080335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机电</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江苏大学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X1560301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机电一体化技术</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A5090601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农业经济管理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专科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南京农业大学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X1510118</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农业经济管理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A2020117</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proofErr w:type="gramStart"/>
            <w:r>
              <w:rPr>
                <w:rFonts w:ascii="宋体" w:hAnsi="宋体" w:cs="宋体" w:hint="eastAsia"/>
                <w:color w:val="000000"/>
                <w:kern w:val="0"/>
                <w:szCs w:val="21"/>
              </w:rPr>
              <w:t>审计学</w:t>
            </w:r>
            <w:proofErr w:type="gramEnd"/>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南京审计大学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X2120207</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proofErr w:type="gramStart"/>
            <w:r>
              <w:rPr>
                <w:rFonts w:ascii="宋体" w:hAnsi="宋体" w:cs="宋体" w:hint="eastAsia"/>
                <w:color w:val="000000"/>
                <w:kern w:val="0"/>
                <w:szCs w:val="21"/>
              </w:rPr>
              <w:t>审计学</w:t>
            </w:r>
            <w:proofErr w:type="gramEnd"/>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A2020120</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金融管理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X2020301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金融学</w:t>
            </w:r>
          </w:p>
        </w:tc>
      </w:tr>
      <w:tr w:rsidR="00704437" w:rsidTr="005C52DE">
        <w:trPr>
          <w:trHeight w:val="342"/>
          <w:jc w:val="center"/>
        </w:trPr>
        <w:tc>
          <w:tcPr>
            <w:tcW w:w="1080" w:type="dxa"/>
            <w:tcBorders>
              <w:top w:val="nil"/>
              <w:left w:val="single" w:sz="8" w:space="0" w:color="000000"/>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1654"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A2020142</w:t>
            </w:r>
          </w:p>
        </w:tc>
        <w:tc>
          <w:tcPr>
            <w:tcW w:w="2410"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工商管理</w:t>
            </w:r>
          </w:p>
        </w:tc>
        <w:tc>
          <w:tcPr>
            <w:tcW w:w="1276"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X2120201</w:t>
            </w:r>
          </w:p>
        </w:tc>
        <w:tc>
          <w:tcPr>
            <w:tcW w:w="2655" w:type="dxa"/>
            <w:tcBorders>
              <w:top w:val="nil"/>
              <w:left w:val="nil"/>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工商管理</w:t>
            </w:r>
          </w:p>
        </w:tc>
      </w:tr>
      <w:tr w:rsidR="00704437" w:rsidTr="005C52DE">
        <w:trPr>
          <w:trHeight w:val="342"/>
          <w:jc w:val="center"/>
        </w:trPr>
        <w:tc>
          <w:tcPr>
            <w:tcW w:w="1080" w:type="dxa"/>
            <w:tcBorders>
              <w:top w:val="single" w:sz="4" w:space="0" w:color="auto"/>
              <w:left w:val="single" w:sz="8" w:space="0" w:color="000000"/>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lastRenderedPageBreak/>
              <w:t>序号</w:t>
            </w:r>
          </w:p>
        </w:tc>
        <w:tc>
          <w:tcPr>
            <w:tcW w:w="1654"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专业代号</w:t>
            </w:r>
          </w:p>
        </w:tc>
        <w:tc>
          <w:tcPr>
            <w:tcW w:w="2410"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专业名称</w:t>
            </w:r>
          </w:p>
        </w:tc>
        <w:tc>
          <w:tcPr>
            <w:tcW w:w="1276"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层次</w:t>
            </w:r>
          </w:p>
        </w:tc>
        <w:tc>
          <w:tcPr>
            <w:tcW w:w="2693"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主考学校</w:t>
            </w:r>
          </w:p>
        </w:tc>
        <w:tc>
          <w:tcPr>
            <w:tcW w:w="2047"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新专业代号</w:t>
            </w:r>
          </w:p>
        </w:tc>
        <w:tc>
          <w:tcPr>
            <w:tcW w:w="2655" w:type="dxa"/>
            <w:tcBorders>
              <w:top w:val="single" w:sz="4" w:space="0" w:color="auto"/>
              <w:left w:val="nil"/>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t>新专业名称</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A2020173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国际经济与贸易</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X2020401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国际经济与贸易</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A2020204</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会计</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X2120203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会计学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A2020208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市场营销</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X2120202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市场营销</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A2020210</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旅游管理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X2120901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旅游管理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A2020216</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电子商务</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X2120801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电子商务</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A2020218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人力资源管理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X2120206</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人力资源管理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A2020229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物流管理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南京财经大学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X2120601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物流管理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A2020279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工程管理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南京工业大学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X2120103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工程管理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A2030106</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法律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X2030101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法学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29</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A2030109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监所管理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中央司法警官学院</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X2330101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监所管理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A2030302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行政管理学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X2120402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行政管理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31</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A2040102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学前教育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X2040106</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学前教育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A2040110</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心理健康教育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X2340102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心理健康教育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A2040112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小学教育</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X2040107</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小学教育</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A2050104</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秘书学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X2050107</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秘书学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A2050105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汉语言文学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X2050101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汉语言文学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A2050201</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英语</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X2050201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英语</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A2050218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商务英语</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南京航空航天大学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X2050262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商务英语</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A2050302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广告学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X2050303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广告学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39</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A2050305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新闻学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南京师范大学、苏州大学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X2050301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新闻学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A2050309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公共关系</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X2120409</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公共关系学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41</w:t>
            </w:r>
          </w:p>
        </w:tc>
        <w:tc>
          <w:tcPr>
            <w:tcW w:w="1654"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A2050437</w:t>
            </w:r>
          </w:p>
        </w:tc>
        <w:tc>
          <w:tcPr>
            <w:tcW w:w="2410"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艺术设计</w:t>
            </w:r>
          </w:p>
        </w:tc>
        <w:tc>
          <w:tcPr>
            <w:tcW w:w="1276"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本科</w:t>
            </w:r>
          </w:p>
        </w:tc>
        <w:tc>
          <w:tcPr>
            <w:tcW w:w="2693"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南京艺术学院</w:t>
            </w:r>
          </w:p>
        </w:tc>
        <w:tc>
          <w:tcPr>
            <w:tcW w:w="2047"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X2130502</w:t>
            </w:r>
          </w:p>
        </w:tc>
        <w:tc>
          <w:tcPr>
            <w:tcW w:w="2655"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视觉传达设计</w:t>
            </w:r>
          </w:p>
        </w:tc>
      </w:tr>
      <w:tr w:rsidR="00704437" w:rsidTr="005C52DE">
        <w:trPr>
          <w:trHeight w:val="342"/>
          <w:jc w:val="center"/>
        </w:trPr>
        <w:tc>
          <w:tcPr>
            <w:tcW w:w="1080" w:type="dxa"/>
            <w:tcBorders>
              <w:top w:val="nil"/>
              <w:left w:val="single" w:sz="8" w:space="0" w:color="000000"/>
              <w:bottom w:val="single" w:sz="4" w:space="0" w:color="auto"/>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42</w:t>
            </w:r>
          </w:p>
        </w:tc>
        <w:tc>
          <w:tcPr>
            <w:tcW w:w="1654"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A2050437</w:t>
            </w:r>
          </w:p>
        </w:tc>
        <w:tc>
          <w:tcPr>
            <w:tcW w:w="2410"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艺术设计</w:t>
            </w:r>
          </w:p>
        </w:tc>
        <w:tc>
          <w:tcPr>
            <w:tcW w:w="1276"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本科</w:t>
            </w:r>
          </w:p>
        </w:tc>
        <w:tc>
          <w:tcPr>
            <w:tcW w:w="2693"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南京艺术学院</w:t>
            </w:r>
          </w:p>
        </w:tc>
        <w:tc>
          <w:tcPr>
            <w:tcW w:w="2047"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X2130503</w:t>
            </w:r>
          </w:p>
        </w:tc>
        <w:tc>
          <w:tcPr>
            <w:tcW w:w="2655" w:type="dxa"/>
            <w:tcBorders>
              <w:top w:val="nil"/>
              <w:left w:val="nil"/>
              <w:bottom w:val="single" w:sz="4" w:space="0" w:color="auto"/>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环境设计</w:t>
            </w:r>
          </w:p>
        </w:tc>
      </w:tr>
      <w:tr w:rsidR="00704437" w:rsidTr="005C52DE">
        <w:trPr>
          <w:trHeight w:val="342"/>
          <w:jc w:val="center"/>
        </w:trPr>
        <w:tc>
          <w:tcPr>
            <w:tcW w:w="1080" w:type="dxa"/>
            <w:tcBorders>
              <w:top w:val="single" w:sz="4" w:space="0" w:color="auto"/>
              <w:left w:val="single" w:sz="8" w:space="0" w:color="000000"/>
              <w:bottom w:val="single" w:sz="8" w:space="0" w:color="000000"/>
              <w:right w:val="single" w:sz="8" w:space="0" w:color="000000"/>
            </w:tcBorders>
            <w:vAlign w:val="center"/>
          </w:tcPr>
          <w:p w:rsidR="00704437" w:rsidRPr="005C52DE" w:rsidRDefault="00704437" w:rsidP="005C52DE">
            <w:pPr>
              <w:widowControl/>
              <w:jc w:val="center"/>
              <w:rPr>
                <w:rFonts w:ascii="黑体" w:eastAsia="黑体" w:hAnsi="宋体" w:cs="宋体" w:hint="eastAsia"/>
                <w:color w:val="000000"/>
                <w:kern w:val="0"/>
                <w:szCs w:val="21"/>
              </w:rPr>
            </w:pPr>
            <w:r w:rsidRPr="005C52DE">
              <w:rPr>
                <w:rFonts w:ascii="黑体" w:eastAsia="黑体" w:hAnsi="宋体" w:hint="eastAsia"/>
                <w:color w:val="000000"/>
                <w:szCs w:val="21"/>
              </w:rPr>
              <w:lastRenderedPageBreak/>
              <w:t>序号</w:t>
            </w:r>
          </w:p>
        </w:tc>
        <w:tc>
          <w:tcPr>
            <w:tcW w:w="1654"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专业代号</w:t>
            </w:r>
          </w:p>
        </w:tc>
        <w:tc>
          <w:tcPr>
            <w:tcW w:w="2410"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专业名称</w:t>
            </w:r>
          </w:p>
        </w:tc>
        <w:tc>
          <w:tcPr>
            <w:tcW w:w="1276"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层次</w:t>
            </w:r>
          </w:p>
        </w:tc>
        <w:tc>
          <w:tcPr>
            <w:tcW w:w="2693"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主考学校</w:t>
            </w:r>
          </w:p>
        </w:tc>
        <w:tc>
          <w:tcPr>
            <w:tcW w:w="2047"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新专业代号</w:t>
            </w:r>
          </w:p>
        </w:tc>
        <w:tc>
          <w:tcPr>
            <w:tcW w:w="2655" w:type="dxa"/>
            <w:tcBorders>
              <w:top w:val="single" w:sz="4" w:space="0" w:color="auto"/>
              <w:left w:val="nil"/>
              <w:bottom w:val="single" w:sz="8" w:space="0" w:color="000000"/>
              <w:right w:val="single" w:sz="8" w:space="0" w:color="000000"/>
            </w:tcBorders>
            <w:shd w:val="clear" w:color="auto" w:fill="auto"/>
            <w:vAlign w:val="center"/>
          </w:tcPr>
          <w:p w:rsidR="00704437" w:rsidRPr="005C52DE" w:rsidRDefault="00704437" w:rsidP="005C52DE">
            <w:pPr>
              <w:widowControl/>
              <w:jc w:val="center"/>
              <w:rPr>
                <w:rFonts w:ascii="黑体" w:eastAsia="黑体" w:hAnsi="宋体" w:cs="宋体" w:hint="eastAsia"/>
                <w:kern w:val="0"/>
                <w:szCs w:val="21"/>
              </w:rPr>
            </w:pPr>
            <w:r w:rsidRPr="005C52DE">
              <w:rPr>
                <w:rFonts w:ascii="黑体" w:eastAsia="黑体" w:hAnsi="宋体" w:hint="eastAsia"/>
                <w:color w:val="000000"/>
                <w:szCs w:val="21"/>
              </w:rPr>
              <w:t>新专业名称</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43</w:t>
            </w:r>
          </w:p>
        </w:tc>
        <w:tc>
          <w:tcPr>
            <w:tcW w:w="1654"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A2050438</w:t>
            </w:r>
          </w:p>
        </w:tc>
        <w:tc>
          <w:tcPr>
            <w:tcW w:w="2410"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动画设计</w:t>
            </w:r>
          </w:p>
        </w:tc>
        <w:tc>
          <w:tcPr>
            <w:tcW w:w="1276"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本科</w:t>
            </w:r>
          </w:p>
        </w:tc>
        <w:tc>
          <w:tcPr>
            <w:tcW w:w="2693"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江南大学</w:t>
            </w:r>
          </w:p>
        </w:tc>
        <w:tc>
          <w:tcPr>
            <w:tcW w:w="2047"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X2130508</w:t>
            </w:r>
          </w:p>
        </w:tc>
        <w:tc>
          <w:tcPr>
            <w:tcW w:w="2655" w:type="dxa"/>
            <w:tcBorders>
              <w:top w:val="nil"/>
              <w:left w:val="nil"/>
              <w:bottom w:val="single" w:sz="8" w:space="0" w:color="000000"/>
              <w:right w:val="single" w:sz="8" w:space="0" w:color="000000"/>
            </w:tcBorders>
            <w:shd w:val="clear" w:color="auto" w:fill="auto"/>
            <w:vAlign w:val="center"/>
          </w:tcPr>
          <w:p w:rsidR="00704437" w:rsidRPr="004D7042" w:rsidRDefault="00704437" w:rsidP="005C52DE">
            <w:pPr>
              <w:widowControl/>
              <w:jc w:val="center"/>
              <w:rPr>
                <w:rFonts w:ascii="宋体" w:hAnsi="宋体" w:cs="宋体"/>
                <w:kern w:val="0"/>
                <w:szCs w:val="21"/>
              </w:rPr>
            </w:pPr>
            <w:r w:rsidRPr="004D7042">
              <w:rPr>
                <w:rFonts w:ascii="宋体" w:hAnsi="宋体" w:cs="宋体" w:hint="eastAsia"/>
                <w:kern w:val="0"/>
                <w:szCs w:val="21"/>
              </w:rPr>
              <w:t>数字媒体艺术</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A2080302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机械制造及自动化</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扬州大学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X2080202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机械设计制造及其自动化</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A2080307</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机电一体化工程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南京理工大学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X2080204</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机械电子工程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A2080622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消防工程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中国人民警察大学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X2083102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消防工程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A2080702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计算机及应用</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X2080901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计算机科学与技术</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A2080708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计算机通信工程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南京邮电大学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X2080703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通信工程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49</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A2080709</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计算机网络</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南京航空航天大学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X2080903</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网络工程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A2080798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物联网工程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南京信息工程大学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X2080905</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物联网工程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51</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A2080806</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建筑工程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扬州大学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X2081001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土木工程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A2081102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环境工程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河海大学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X2082502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环境工程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A2081203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化学工程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南京工业大学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X2081301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化学工程与工艺</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A2081308</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食品科学与工程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江南大学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X2082701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食品科学与工程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55</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A2081726</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汽车维修与检测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江苏理工学院</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X2080208</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汽车服务工程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56</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A2082205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工业工程</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南京航空航天大学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X2120701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工业工程</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57</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A2082213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信息管理与信息系统</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南京理工大学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X2120102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信息管理与信息系统</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58</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A2090115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园林</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南京林业大学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X2090502</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园林</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59</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A2090403</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畜牧兽医</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扬州大学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X2090401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动物医学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60</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A2090615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现代农业管理</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南京农业大学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X2120301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农林经济管理</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61</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A2100702</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护理学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南京医科大学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X2101101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护理学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62</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A2100804</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中药学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南京中医药大学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X2100801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中药学</w:t>
            </w:r>
          </w:p>
        </w:tc>
      </w:tr>
      <w:tr w:rsidR="00704437" w:rsidTr="005C52DE">
        <w:trPr>
          <w:trHeight w:val="342"/>
          <w:jc w:val="center"/>
        </w:trPr>
        <w:tc>
          <w:tcPr>
            <w:tcW w:w="1080" w:type="dxa"/>
            <w:tcBorders>
              <w:top w:val="nil"/>
              <w:left w:val="single" w:sz="8" w:space="0" w:color="000000"/>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63</w:t>
            </w:r>
          </w:p>
        </w:tc>
        <w:tc>
          <w:tcPr>
            <w:tcW w:w="1654"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A2100805</w:t>
            </w:r>
          </w:p>
        </w:tc>
        <w:tc>
          <w:tcPr>
            <w:tcW w:w="2410"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药学</w:t>
            </w:r>
          </w:p>
        </w:tc>
        <w:tc>
          <w:tcPr>
            <w:tcW w:w="1276"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本科</w:t>
            </w:r>
          </w:p>
        </w:tc>
        <w:tc>
          <w:tcPr>
            <w:tcW w:w="2693"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南京医科大学</w:t>
            </w:r>
          </w:p>
        </w:tc>
        <w:tc>
          <w:tcPr>
            <w:tcW w:w="2047"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X2100701</w:t>
            </w:r>
          </w:p>
        </w:tc>
        <w:tc>
          <w:tcPr>
            <w:tcW w:w="2655" w:type="dxa"/>
            <w:tcBorders>
              <w:top w:val="nil"/>
              <w:left w:val="nil"/>
              <w:bottom w:val="single" w:sz="8" w:space="0" w:color="000000"/>
              <w:right w:val="single" w:sz="8" w:space="0" w:color="000000"/>
            </w:tcBorders>
            <w:vAlign w:val="center"/>
          </w:tcPr>
          <w:p w:rsidR="00704437" w:rsidRDefault="00704437" w:rsidP="005C52DE">
            <w:pPr>
              <w:widowControl/>
              <w:jc w:val="center"/>
              <w:rPr>
                <w:rFonts w:ascii="宋体" w:hAnsi="宋体" w:cs="宋体"/>
                <w:color w:val="000000"/>
                <w:kern w:val="0"/>
                <w:szCs w:val="21"/>
              </w:rPr>
            </w:pPr>
            <w:r>
              <w:rPr>
                <w:rFonts w:ascii="宋体" w:hAnsi="宋体" w:cs="宋体" w:hint="eastAsia"/>
                <w:color w:val="000000"/>
                <w:kern w:val="0"/>
                <w:szCs w:val="21"/>
              </w:rPr>
              <w:t>药学</w:t>
            </w:r>
          </w:p>
        </w:tc>
      </w:tr>
    </w:tbl>
    <w:p w:rsidR="00704437" w:rsidRDefault="00704437" w:rsidP="00704437">
      <w:pPr>
        <w:sectPr w:rsidR="00704437" w:rsidSect="00704437">
          <w:pgSz w:w="16838" w:h="11906" w:orient="landscape"/>
          <w:pgMar w:top="1588" w:right="1440" w:bottom="1588" w:left="1440" w:header="851" w:footer="992" w:gutter="0"/>
          <w:cols w:space="425"/>
          <w:docGrid w:type="lines" w:linePitch="312"/>
        </w:sect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Pr="005C52DE" w:rsidRDefault="00704437" w:rsidP="00704437">
      <w:pPr>
        <w:spacing w:line="520" w:lineRule="exact"/>
        <w:ind w:left="1758" w:right="482" w:hanging="1120"/>
        <w:rPr>
          <w:rFonts w:eastAsia="仿宋_GB2312"/>
          <w:sz w:val="28"/>
          <w:szCs w:val="28"/>
        </w:rPr>
      </w:pPr>
    </w:p>
    <w:p w:rsidR="00704437" w:rsidRDefault="00704437" w:rsidP="00704437">
      <w:pPr>
        <w:spacing w:line="520" w:lineRule="exact"/>
        <w:ind w:right="482"/>
        <w:jc w:val="left"/>
        <w:rPr>
          <w:rFonts w:eastAsia="仿宋_GB2312" w:hint="eastAsia"/>
          <w:sz w:val="28"/>
          <w:szCs w:val="28"/>
        </w:rPr>
      </w:pPr>
    </w:p>
    <w:p w:rsidR="00704437" w:rsidRDefault="00704437" w:rsidP="00704437">
      <w:pPr>
        <w:spacing w:line="520" w:lineRule="exact"/>
        <w:ind w:right="482"/>
        <w:jc w:val="left"/>
        <w:rPr>
          <w:rFonts w:eastAsia="仿宋_GB2312" w:hint="eastAsia"/>
          <w:sz w:val="28"/>
          <w:szCs w:val="28"/>
        </w:rPr>
      </w:pPr>
    </w:p>
    <w:p w:rsidR="00704437" w:rsidRDefault="00704437" w:rsidP="00704437">
      <w:pPr>
        <w:spacing w:line="520" w:lineRule="exact"/>
        <w:ind w:right="482"/>
        <w:jc w:val="left"/>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15"/>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Default="00704437" w:rsidP="00704437">
      <w:pPr>
        <w:spacing w:line="520" w:lineRule="exact"/>
        <w:ind w:right="482"/>
        <w:rPr>
          <w:rFonts w:eastAsia="仿宋_GB2312" w:hint="eastAsia"/>
          <w:sz w:val="28"/>
          <w:szCs w:val="28"/>
        </w:rPr>
      </w:pPr>
    </w:p>
    <w:p w:rsidR="00704437" w:rsidRPr="00704437" w:rsidRDefault="00704437" w:rsidP="00704437">
      <w:pPr>
        <w:pBdr>
          <w:top w:val="single" w:sz="6" w:space="1" w:color="000000"/>
          <w:bottom w:val="single" w:sz="6" w:space="1" w:color="000000"/>
        </w:pBdr>
        <w:spacing w:line="520" w:lineRule="exact"/>
        <w:ind w:right="15" w:firstLineChars="100" w:firstLine="280"/>
        <w:jc w:val="left"/>
        <w:rPr>
          <w:rFonts w:eastAsia="仿宋_GB2312"/>
          <w:sz w:val="28"/>
          <w:szCs w:val="28"/>
        </w:rPr>
      </w:pPr>
      <w:r>
        <w:rPr>
          <w:rFonts w:eastAsia="仿宋_GB2312" w:hint="eastAsia"/>
          <w:sz w:val="28"/>
          <w:szCs w:val="28"/>
        </w:rPr>
        <w:t>江苏省教育考试院办公室</w:t>
      </w:r>
      <w:proofErr w:type="gramStart"/>
      <w:r>
        <w:rPr>
          <w:rFonts w:eastAsia="仿宋_GB2312" w:hint="eastAsia"/>
          <w:sz w:val="28"/>
          <w:szCs w:val="28"/>
        </w:rPr>
        <w:t xml:space="preserve">　　　　　　　</w:t>
      </w:r>
      <w:proofErr w:type="gramEnd"/>
      <w:r>
        <w:rPr>
          <w:rFonts w:eastAsia="仿宋_GB2312" w:hint="eastAsia"/>
          <w:sz w:val="28"/>
          <w:szCs w:val="28"/>
        </w:rPr>
        <w:t xml:space="preserve"> </w:t>
      </w:r>
      <w:r>
        <w:rPr>
          <w:rFonts w:eastAsia="仿宋_GB2312" w:hint="eastAsia"/>
          <w:sz w:val="28"/>
          <w:szCs w:val="28"/>
        </w:rPr>
        <w:t xml:space="preserve">　</w:t>
      </w:r>
      <w:r>
        <w:rPr>
          <w:rFonts w:eastAsia="仿宋_GB2312" w:hint="eastAsia"/>
          <w:sz w:val="28"/>
          <w:szCs w:val="28"/>
        </w:rPr>
        <w:t>2019</w:t>
      </w:r>
      <w:r>
        <w:rPr>
          <w:rFonts w:eastAsia="仿宋_GB2312" w:hint="eastAsia"/>
          <w:sz w:val="28"/>
          <w:szCs w:val="28"/>
        </w:rPr>
        <w:t>年</w:t>
      </w:r>
      <w:r>
        <w:rPr>
          <w:rFonts w:eastAsia="仿宋_GB2312" w:hint="eastAsia"/>
          <w:sz w:val="28"/>
          <w:szCs w:val="28"/>
        </w:rPr>
        <w:t>5</w:t>
      </w:r>
      <w:r>
        <w:rPr>
          <w:rFonts w:eastAsia="仿宋_GB2312" w:hint="eastAsia"/>
          <w:sz w:val="28"/>
          <w:szCs w:val="28"/>
        </w:rPr>
        <w:t>月</w:t>
      </w:r>
      <w:r>
        <w:rPr>
          <w:rFonts w:eastAsia="仿宋_GB2312" w:hint="eastAsia"/>
          <w:sz w:val="28"/>
          <w:szCs w:val="28"/>
        </w:rPr>
        <w:t>7</w:t>
      </w:r>
      <w:r>
        <w:rPr>
          <w:rFonts w:eastAsia="仿宋_GB2312" w:hint="eastAsia"/>
          <w:sz w:val="28"/>
          <w:szCs w:val="28"/>
        </w:rPr>
        <w:t>日印发</w:t>
      </w:r>
      <w:bookmarkStart w:id="0" w:name="_GoBack"/>
      <w:bookmarkEnd w:id="0"/>
    </w:p>
    <w:sectPr w:rsidR="00704437" w:rsidRPr="00704437" w:rsidSect="005C52DE">
      <w:pgSz w:w="11906" w:h="16838" w:code="9"/>
      <w:pgMar w:top="2098" w:right="1588" w:bottom="1985" w:left="1588" w:header="851" w:footer="992" w:gutter="0"/>
      <w:pgNumType w:fmt="numberInDash"/>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微软雅黑">
    <w:altName w:val="黑体"/>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437"/>
    <w:rsid w:val="00274992"/>
    <w:rsid w:val="00704437"/>
    <w:rsid w:val="00DA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37"/>
    <w:pPr>
      <w:widowControl w:val="0"/>
      <w:spacing w:line="24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74992"/>
    <w:pPr>
      <w:widowControl/>
      <w:spacing w:before="100" w:beforeAutospacing="1" w:after="100" w:afterAutospacing="1" w:line="600" w:lineRule="exact"/>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74992"/>
    <w:rPr>
      <w:rFonts w:ascii="宋体" w:eastAsia="宋体" w:hAnsi="宋体" w:cs="宋体"/>
      <w:b/>
      <w:bCs/>
      <w:kern w:val="36"/>
      <w:sz w:val="48"/>
      <w:szCs w:val="48"/>
    </w:rPr>
  </w:style>
  <w:style w:type="paragraph" w:styleId="a3">
    <w:name w:val="footer"/>
    <w:basedOn w:val="a"/>
    <w:link w:val="Char"/>
    <w:uiPriority w:val="99"/>
    <w:unhideWhenUsed/>
    <w:qFormat/>
    <w:rsid w:val="00274992"/>
    <w:pPr>
      <w:widowControl/>
      <w:tabs>
        <w:tab w:val="center" w:pos="4153"/>
        <w:tab w:val="right" w:pos="8306"/>
      </w:tabs>
      <w:spacing w:line="600" w:lineRule="exact"/>
      <w:jc w:val="left"/>
    </w:pPr>
    <w:rPr>
      <w:rFonts w:ascii="Tahoma" w:eastAsia="微软雅黑" w:hAnsi="Tahoma" w:cstheme="minorBidi"/>
      <w:kern w:val="0"/>
      <w:sz w:val="18"/>
      <w:szCs w:val="18"/>
    </w:rPr>
  </w:style>
  <w:style w:type="character" w:customStyle="1" w:styleId="Char">
    <w:name w:val="页脚 Char"/>
    <w:basedOn w:val="a0"/>
    <w:link w:val="a3"/>
    <w:uiPriority w:val="99"/>
    <w:qFormat/>
    <w:rsid w:val="00274992"/>
    <w:rPr>
      <w:rFonts w:ascii="Tahoma" w:hAnsi="Tahoma"/>
      <w:sz w:val="18"/>
      <w:szCs w:val="18"/>
    </w:rPr>
  </w:style>
  <w:style w:type="paragraph" w:styleId="a4">
    <w:name w:val="Date"/>
    <w:basedOn w:val="a"/>
    <w:next w:val="a"/>
    <w:link w:val="Char0"/>
    <w:uiPriority w:val="99"/>
    <w:semiHidden/>
    <w:unhideWhenUsed/>
    <w:rsid w:val="00704437"/>
    <w:pPr>
      <w:ind w:leftChars="2500" w:left="100"/>
    </w:pPr>
  </w:style>
  <w:style w:type="character" w:customStyle="1" w:styleId="Char0">
    <w:name w:val="日期 Char"/>
    <w:basedOn w:val="a0"/>
    <w:link w:val="a4"/>
    <w:uiPriority w:val="99"/>
    <w:semiHidden/>
    <w:rsid w:val="00704437"/>
    <w:rPr>
      <w:rFonts w:ascii="Times New Roman" w:eastAsia="宋体" w:hAnsi="Times New Roman" w:cs="Times New Roman"/>
      <w:kern w:val="2"/>
      <w:sz w:val="21"/>
      <w:szCs w:val="24"/>
    </w:rPr>
  </w:style>
  <w:style w:type="paragraph" w:styleId="a5">
    <w:name w:val="Block Text"/>
    <w:basedOn w:val="a"/>
    <w:rsid w:val="00704437"/>
    <w:pPr>
      <w:adjustRightInd w:val="0"/>
      <w:spacing w:line="560" w:lineRule="exact"/>
      <w:ind w:leftChars="-171" w:rightChars="100" w:hangingChars="46" w:hanging="46"/>
      <w:jc w:val="center"/>
    </w:pPr>
    <w:rPr>
      <w:rFonts w:ascii="黑体" w:eastAsia="黑体"/>
      <w:w w:val="90"/>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lang w:val="en-US" w:eastAsia="zh-CN" w:bidi="ar-SA"/>
      </w:rPr>
    </w:rPrDefault>
    <w:pPrDefault>
      <w:pPr>
        <w:spacing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437"/>
    <w:pPr>
      <w:widowControl w:val="0"/>
      <w:spacing w:line="240" w:lineRule="auto"/>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274992"/>
    <w:pPr>
      <w:widowControl/>
      <w:spacing w:before="100" w:beforeAutospacing="1" w:after="100" w:afterAutospacing="1" w:line="600" w:lineRule="exact"/>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74992"/>
    <w:rPr>
      <w:rFonts w:ascii="宋体" w:eastAsia="宋体" w:hAnsi="宋体" w:cs="宋体"/>
      <w:b/>
      <w:bCs/>
      <w:kern w:val="36"/>
      <w:sz w:val="48"/>
      <w:szCs w:val="48"/>
    </w:rPr>
  </w:style>
  <w:style w:type="paragraph" w:styleId="a3">
    <w:name w:val="footer"/>
    <w:basedOn w:val="a"/>
    <w:link w:val="Char"/>
    <w:uiPriority w:val="99"/>
    <w:unhideWhenUsed/>
    <w:qFormat/>
    <w:rsid w:val="00274992"/>
    <w:pPr>
      <w:widowControl/>
      <w:tabs>
        <w:tab w:val="center" w:pos="4153"/>
        <w:tab w:val="right" w:pos="8306"/>
      </w:tabs>
      <w:spacing w:line="600" w:lineRule="exact"/>
      <w:jc w:val="left"/>
    </w:pPr>
    <w:rPr>
      <w:rFonts w:ascii="Tahoma" w:eastAsia="微软雅黑" w:hAnsi="Tahoma" w:cstheme="minorBidi"/>
      <w:kern w:val="0"/>
      <w:sz w:val="18"/>
      <w:szCs w:val="18"/>
    </w:rPr>
  </w:style>
  <w:style w:type="character" w:customStyle="1" w:styleId="Char">
    <w:name w:val="页脚 Char"/>
    <w:basedOn w:val="a0"/>
    <w:link w:val="a3"/>
    <w:uiPriority w:val="99"/>
    <w:qFormat/>
    <w:rsid w:val="00274992"/>
    <w:rPr>
      <w:rFonts w:ascii="Tahoma" w:hAnsi="Tahoma"/>
      <w:sz w:val="18"/>
      <w:szCs w:val="18"/>
    </w:rPr>
  </w:style>
  <w:style w:type="paragraph" w:styleId="a4">
    <w:name w:val="Date"/>
    <w:basedOn w:val="a"/>
    <w:next w:val="a"/>
    <w:link w:val="Char0"/>
    <w:uiPriority w:val="99"/>
    <w:semiHidden/>
    <w:unhideWhenUsed/>
    <w:rsid w:val="00704437"/>
    <w:pPr>
      <w:ind w:leftChars="2500" w:left="100"/>
    </w:pPr>
  </w:style>
  <w:style w:type="character" w:customStyle="1" w:styleId="Char0">
    <w:name w:val="日期 Char"/>
    <w:basedOn w:val="a0"/>
    <w:link w:val="a4"/>
    <w:uiPriority w:val="99"/>
    <w:semiHidden/>
    <w:rsid w:val="00704437"/>
    <w:rPr>
      <w:rFonts w:ascii="Times New Roman" w:eastAsia="宋体" w:hAnsi="Times New Roman" w:cs="Times New Roman"/>
      <w:kern w:val="2"/>
      <w:sz w:val="21"/>
      <w:szCs w:val="24"/>
    </w:rPr>
  </w:style>
  <w:style w:type="paragraph" w:styleId="a5">
    <w:name w:val="Block Text"/>
    <w:basedOn w:val="a"/>
    <w:rsid w:val="00704437"/>
    <w:pPr>
      <w:adjustRightInd w:val="0"/>
      <w:spacing w:line="560" w:lineRule="exact"/>
      <w:ind w:leftChars="-171" w:rightChars="100" w:hangingChars="46" w:hanging="46"/>
      <w:jc w:val="center"/>
    </w:pPr>
    <w:rPr>
      <w:rFonts w:ascii="黑体" w:eastAsia="黑体"/>
      <w:w w:val="90"/>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538</Words>
  <Characters>3067</Characters>
  <Application>Microsoft Office Word</Application>
  <DocSecurity>0</DocSecurity>
  <Lines>25</Lines>
  <Paragraphs>7</Paragraphs>
  <ScaleCrop>false</ScaleCrop>
  <Company>Hewlett-Packard Company</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2019-05-08T07:41:00Z</dcterms:created>
  <dcterms:modified xsi:type="dcterms:W3CDTF">2019-05-08T07:46:00Z</dcterms:modified>
</cp:coreProperties>
</file>